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Standaard"/>
      </w:pPr>
      <w:r>
        <w:rPr/>
        <w:t xml:space="preserve">Het </w:t>
      </w:r>
      <w:r>
        <w:rPr/>
        <w:t xml:space="preserve">jaarlijkse </w:t>
      </w:r>
      <w:r>
        <w:rPr/>
        <w:t>overheids</w:t>
      </w:r>
      <w:r>
        <w:rPr/>
        <w:t xml:space="preserve">miljard </w:t>
      </w:r>
      <w:r>
        <w:rPr/>
        <w:t>dient in mijn ogen te</w:t>
      </w:r>
      <w:r>
        <w:rPr/>
        <w:t xml:space="preserve"> worden gegeven aan de voornaamste veroorzakers van de scheve mondiale </w:t>
      </w:r>
      <w:r>
        <w:rPr/>
        <w:t>voedselverdeling</w:t>
      </w:r>
      <w:r>
        <w:rPr/>
        <w:t xml:space="preserve">, de multinationals. </w:t>
      </w:r>
      <w:r>
        <w:rPr/>
        <w:t xml:space="preserve">Voor u van uw stoel valt, zal ik mij nader verklaren: </w:t>
      </w:r>
    </w:p>
    <w:p>
      <w:pPr>
        <w:pStyle w:val="Standaard"/>
      </w:pPr>
      <w:r>
        <w:rPr/>
        <w:t xml:space="preserve">Het zijn de multinationale voedselbedrijven en de banken die met een kleine mentaliteitsverandering (die je nu bij veel bestuurders sowieso al ziet) en bewustzijnsverruiming kunnen bereiken wat een individuele overheid, de talloze NGO-‘s of zelfs een overkoepelende internationale instantie als de VN nooit zouden kunnen. </w:t>
      </w:r>
    </w:p>
    <w:p>
      <w:pPr>
        <w:pStyle w:val="Standaard"/>
      </w:pPr>
      <w:r>
        <w:rPr/>
        <w:t xml:space="preserve">Duurzame vergroting van de voedselvoorraad om alle monden te voeden kan worden bereikt als </w:t>
      </w:r>
      <w:r>
        <w:rPr/>
        <w:t xml:space="preserve">alles en </w:t>
      </w:r>
      <w:r>
        <w:rPr/>
        <w:t xml:space="preserve">iedereen wereldwijd in een soort yin-yang-tango meedanst. Dat wil zeggen: Oost en West, vrouwen (-coöperaties) én mannen (-multinationals), publiek - private samenwerking, biologisch én biotechnologisch, microfinanciering door </w:t>
      </w:r>
      <w:r>
        <w:rPr>
          <w:i/>
        </w:rPr>
        <w:t>crowdfunding</w:t>
      </w:r>
      <w:r>
        <w:rPr/>
        <w:t xml:space="preserve"> én </w:t>
      </w:r>
      <w:r>
        <w:rPr>
          <w:i/>
        </w:rPr>
        <w:t>inclusive finance</w:t>
      </w:r>
      <w:r>
        <w:rPr>
          <w:i/>
        </w:rPr>
        <w:t>.</w:t>
      </w:r>
      <w:r>
        <w:rPr/>
        <w:t xml:space="preserve"> Een en ander zowel gebaseerd op de onder jongere </w:t>
      </w:r>
      <w:r>
        <w:rPr>
          <w:i/>
        </w:rPr>
        <w:t xml:space="preserve">cultural creatives </w:t>
      </w:r>
      <w:r>
        <w:rPr/>
        <w:t xml:space="preserve">in zwang zijnde </w:t>
      </w:r>
      <w:r>
        <w:rPr>
          <w:i/>
        </w:rPr>
        <w:t>Ego-incentive</w:t>
      </w:r>
      <w:r>
        <w:rPr>
          <w:i/>
        </w:rPr>
        <w:t xml:space="preserve"> </w:t>
      </w:r>
      <w:r>
        <w:rPr/>
        <w:t>(zie hierna)</w:t>
      </w:r>
      <w:r>
        <w:rPr/>
        <w:t xml:space="preserve">, maar voor de ouderen onder ons ook nog gewoon op geldelijk gewin. </w:t>
      </w:r>
    </w:p>
    <w:p>
      <w:pPr>
        <w:pStyle w:val="Standaard"/>
      </w:pPr>
      <w:r>
        <w:rPr/>
        <w:t xml:space="preserve">Multinationals hebben bewezen meerdere </w:t>
      </w:r>
      <w:r>
        <w:rPr/>
        <w:t>(</w:t>
      </w:r>
      <w:r>
        <w:rPr/>
        <w:t>internationale</w:t>
      </w:r>
      <w:r>
        <w:rPr/>
        <w:t>)</w:t>
      </w:r>
      <w:r>
        <w:rPr/>
        <w:t xml:space="preserve"> belangen tegelijk te kunnen dienen</w:t>
      </w:r>
      <w:r>
        <w:rPr/>
        <w:t xml:space="preserve"> en met culturele verschillen om te kunnen gaan</w:t>
      </w:r>
      <w:r>
        <w:rPr/>
        <w:t xml:space="preserve">. Vanaf </w:t>
      </w:r>
      <w:r>
        <w:rPr/>
        <w:t xml:space="preserve">het </w:t>
      </w:r>
      <w:r>
        <w:rPr/>
        <w:t>begin van de vorige eeuw hebben deze bedrijven gestaag hun gebied</w:t>
      </w:r>
      <w:r>
        <w:rPr/>
        <w:t xml:space="preserve">jes veroverd op de wereldkaart en ze zitten nu verspreid van Noord tot Zuid en Oost tot West. </w:t>
      </w:r>
    </w:p>
    <w:p>
      <w:pPr>
        <w:pStyle w:val="Standaard"/>
      </w:pPr>
      <w:r>
        <w:rPr/>
        <w:t>Multinationals en banken zijn gewend om met dergelijke bedragen om te gaan, terwijl een dergelijk bedrag in de handen van iemand die dat niet gewend is eenvoudig kan leiden tot corruptie of lichtzinnig gedrag.</w:t>
      </w:r>
    </w:p>
    <w:p>
      <w:pPr>
        <w:pStyle w:val="Standaard"/>
      </w:pPr>
      <w:r>
        <w:rPr/>
        <w:t>Belangrijker is echter dat u</w:t>
      </w:r>
      <w:r>
        <w:rPr/>
        <w:t xml:space="preserve">it mijn betoog hierna zal blijken dat sprake is van een dermate grote interdependentie tussen de tango-dansers die ik hierboven noemde, dat een </w:t>
      </w:r>
      <w:r>
        <w:rPr/>
        <w:t xml:space="preserve">slimme </w:t>
      </w:r>
      <w:r>
        <w:rPr/>
        <w:t xml:space="preserve">speler niet zal proberen om het zonder de anderen te gaan doen of met de zak geld weg te hollen. </w:t>
      </w:r>
      <w:r>
        <w:rPr/>
        <w:t xml:space="preserve">Hiertoe is ook de </w:t>
      </w:r>
      <w:r>
        <w:rPr/>
        <w:t xml:space="preserve">in het grote bedrijfsleven steeds meer aangehangen </w:t>
      </w:r>
      <w:r>
        <w:rPr/>
        <w:t>“ Fortune at the bottom of the Pyramid-theorie”</w:t>
      </w:r>
      <w:r>
        <w:rPr/>
        <w:t xml:space="preserve"> van Prahadlad </w:t>
      </w:r>
      <w:r>
        <w:rPr/>
        <w:t xml:space="preserve">relevant. Deze theorie gaat er vanuit dat men in het Oosten weliswaar maar 1 dollar per dag verdient en </w:t>
      </w:r>
      <w:r>
        <w:rPr/>
        <w:t xml:space="preserve">men </w:t>
      </w:r>
      <w:r>
        <w:rPr/>
        <w:t>dus niet veel producten kan kopen, maar dat er in het Oosten wel miljarden mensen leven. Als de producten specifiek worden</w:t>
      </w:r>
      <w:r>
        <w:rPr/>
        <w:t xml:space="preserve"> aangepast aan die potentiële markten kan door Westerse bedrijven een fortuin worden verdiend en kan de welvaart van het Oosten worden vergroot.</w:t>
      </w:r>
      <w:r>
        <w:rPr/>
        <w:t xml:space="preserve"> </w:t>
      </w:r>
      <w:r>
        <w:rPr/>
        <w:t xml:space="preserve">  </w:t>
      </w:r>
    </w:p>
    <w:p>
      <w:pPr>
        <w:pStyle w:val="Standaard"/>
      </w:pPr>
      <w:r>
        <w:rPr/>
        <w:t xml:space="preserve">Aan het jaarlijkse overheidsmiljard dienen dan weinig </w:t>
      </w:r>
      <w:r>
        <w:rPr/>
        <w:t xml:space="preserve">tot geen </w:t>
      </w:r>
      <w:r>
        <w:rPr/>
        <w:t>voorwaar</w:t>
      </w:r>
      <w:r>
        <w:rPr/>
        <w:t>den</w:t>
      </w:r>
      <w:r>
        <w:rPr/>
        <w:t xml:space="preserve"> te worden gehangen. Gebleken is immers dat subsidies met veel voorwaarden de creativiteit en innovatiekracht van mensen aanzienlijk vermindert. De enige voorwaarde dient te zijn dat </w:t>
      </w:r>
      <w:r>
        <w:rPr/>
        <w:t xml:space="preserve">op dit miljard een flinke </w:t>
      </w:r>
      <w:r>
        <w:rPr>
          <w:i/>
        </w:rPr>
        <w:t>return on investment</w:t>
      </w:r>
      <w:r>
        <w:rPr/>
        <w:t xml:space="preserve"> </w:t>
      </w:r>
      <w:r>
        <w:rPr/>
        <w:t>moet worden gemaakt</w:t>
      </w:r>
      <w:r>
        <w:rPr/>
        <w:t xml:space="preserve">, in zowel meetbare sociaal-maatschappelijke zin </w:t>
      </w:r>
      <w:r>
        <w:rPr/>
        <w:t xml:space="preserve">(met inzet van alle genoemde tango-dansers) </w:t>
      </w:r>
      <w:r>
        <w:rPr/>
        <w:t>als in financiële zin</w:t>
      </w:r>
      <w:r>
        <w:rPr/>
        <w:t xml:space="preserve"> (waarvan dan weer een deel kan worden gebruikt voor MVO)</w:t>
      </w:r>
      <w:r>
        <w:rPr/>
        <w:t xml:space="preserve">. </w:t>
      </w:r>
    </w:p>
    <w:p>
      <w:pPr>
        <w:pStyle w:val="Standaard"/>
      </w:pPr>
      <w:r>
        <w:rPr/>
        <w:t xml:space="preserve">Even terug naar de basis: </w:t>
      </w:r>
      <w:r>
        <w:rPr/>
        <w:t>Voor het produceren</w:t>
      </w:r>
      <w:r>
        <w:rPr/>
        <w:t xml:space="preserve"> </w:t>
      </w:r>
      <w:r>
        <w:rPr/>
        <w:t xml:space="preserve">van </w:t>
      </w:r>
      <w:r>
        <w:rPr/>
        <w:t>voedsel</w:t>
      </w:r>
      <w:r>
        <w:rPr/>
        <w:t xml:space="preserve"> (</w:t>
      </w:r>
      <w:r>
        <w:rPr/>
        <w:t>zowel plantaardig als</w:t>
      </w:r>
      <w:r>
        <w:rPr/>
        <w:t xml:space="preserve"> dierlijk voedsel, omdat dieren plantaardig veevoer eten)</w:t>
      </w:r>
      <w:r>
        <w:rPr/>
        <w:t xml:space="preserve"> is</w:t>
      </w:r>
      <w:r>
        <w:rPr/>
        <w:t xml:space="preserve"> </w:t>
      </w:r>
      <w:r>
        <w:rPr/>
        <w:t>nodig: kwalitatieve zaden</w:t>
      </w:r>
      <w:r>
        <w:rPr/>
        <w:t>/bollen/knollen</w:t>
      </w:r>
      <w:r>
        <w:rPr/>
        <w:t>,</w:t>
      </w:r>
      <w:r>
        <w:rPr/>
        <w:t xml:space="preserve"> (biologische) gewasbeschermingsmiddelen,</w:t>
      </w:r>
      <w:r>
        <w:rPr/>
        <w:t xml:space="preserve"> teeltkennis</w:t>
      </w:r>
      <w:r>
        <w:rPr/>
        <w:t>, landbouwgrond, zon/ kaswarmte, water</w:t>
      </w:r>
      <w:r>
        <w:rPr/>
        <w:t>,</w:t>
      </w:r>
      <w:r>
        <w:rPr/>
        <w:t xml:space="preserve"> landbouwers</w:t>
      </w:r>
      <w:r>
        <w:rPr/>
        <w:t xml:space="preserve"> en een goede infrastructuur/logistiek</w:t>
      </w:r>
      <w:r>
        <w:rPr/>
        <w:t xml:space="preserve">. </w:t>
      </w:r>
    </w:p>
    <w:p>
      <w:pPr>
        <w:pStyle w:val="Standaard"/>
      </w:pPr>
      <w:r>
        <w:rPr/>
        <w:t>H</w:t>
      </w:r>
      <w:r>
        <w:rPr/>
        <w:t>et Oosten heeft landbouwgrond, goedkope arbeidskrachten en een gunstig klimaat. Het Westen heeft kennis van watermanagement</w:t>
      </w:r>
      <w:r>
        <w:rPr/>
        <w:t xml:space="preserve"> en gewasteelt</w:t>
      </w:r>
      <w:r>
        <w:rPr/>
        <w:t>, geld, politieke stabiliteit</w:t>
      </w:r>
      <w:r>
        <w:rPr/>
        <w:t>, infra</w:t>
      </w:r>
      <w:r>
        <w:rPr/>
        <w:t xml:space="preserve">structuur en wetgeving. </w:t>
      </w:r>
      <w:r>
        <w:rPr/>
        <w:t xml:space="preserve"> </w:t>
      </w:r>
      <w:r>
        <w:rPr/>
        <w:t>Multinationals hebben het vermogen (en de jarenlange ervaring) om al deze ingrediënten te laten samenvloeien tot een vermarktbaar product.</w:t>
      </w:r>
    </w:p>
    <w:p>
      <w:pPr>
        <w:pStyle w:val="Standaard"/>
      </w:pPr>
      <w:r>
        <w:rPr>
          <w:i/>
        </w:rPr>
        <w:t>Kwalitatie</w:t>
      </w:r>
      <w:r>
        <w:rPr>
          <w:i/>
        </w:rPr>
        <w:t>f uitgangsmateriaal</w:t>
      </w:r>
    </w:p>
    <w:p>
      <w:pPr>
        <w:pStyle w:val="Standaard"/>
      </w:pPr>
      <w:r>
        <w:rPr/>
        <w:t xml:space="preserve">De gehele </w:t>
      </w:r>
      <w:r>
        <w:rPr/>
        <w:t>voedselproductie</w:t>
      </w:r>
      <w:r>
        <w:rPr/>
        <w:t xml:space="preserve"> wereldwijd is in handen van ongeveer 10 </w:t>
      </w:r>
      <w:r>
        <w:rPr/>
        <w:t>multinationals</w:t>
      </w:r>
      <w:r>
        <w:rPr/>
        <w:t xml:space="preserve">, </w:t>
      </w:r>
      <w:r>
        <w:rPr/>
        <w:t xml:space="preserve">uiteraard steeds verschillend per </w:t>
      </w:r>
      <w:r>
        <w:rPr/>
        <w:t xml:space="preserve">voedselsoort. Deze bedrijven laten </w:t>
      </w:r>
      <w:r>
        <w:rPr/>
        <w:t xml:space="preserve">de meeste van </w:t>
      </w:r>
      <w:r>
        <w:rPr/>
        <w:t xml:space="preserve">hun </w:t>
      </w:r>
      <w:r>
        <w:rPr/>
        <w:t>producten (of grondstoffen)</w:t>
      </w:r>
      <w:r>
        <w:rPr/>
        <w:t xml:space="preserve"> maken in </w:t>
      </w:r>
      <w:r>
        <w:rPr/>
        <w:t xml:space="preserve">warme, </w:t>
      </w:r>
      <w:r>
        <w:rPr/>
        <w:t>lage lonen landen en</w:t>
      </w:r>
      <w:r>
        <w:rPr/>
        <w:t xml:space="preserve"> transporteren deze producten meestal terug naar het Westen om van daaruit vooral de Westerse wereld van voedsel te voorzien. In de warme, lage lonen landen worden contracttelers ingezet om de zaden</w:t>
      </w:r>
      <w:r>
        <w:rPr/>
        <w:t>/bollen/knollen</w:t>
      </w:r>
      <w:r>
        <w:rPr/>
        <w:t xml:space="preserve"> te produceren en de </w:t>
      </w:r>
      <w:r>
        <w:rPr/>
        <w:t>gewassen te verbouwen die dienen als grondstoffen voor voedselproducten.</w:t>
      </w:r>
      <w:r>
        <w:rPr/>
        <w:t xml:space="preserve"> Veelal worden de (biologische) gewasbeschermingsmiddelen gemaakt en verhandeld door dezelfde multinationals die ook de zaden/bollen/knollen produceren.  </w:t>
      </w:r>
    </w:p>
    <w:p>
      <w:pPr>
        <w:pStyle w:val="Standaard"/>
      </w:pPr>
      <w:r>
        <w:rPr>
          <w:i/>
        </w:rPr>
        <w:t>K</w:t>
      </w:r>
      <w:r>
        <w:rPr>
          <w:i/>
        </w:rPr>
        <w:t>ennis</w:t>
      </w:r>
      <w:r>
        <w:rPr>
          <w:i/>
        </w:rPr>
        <w:t xml:space="preserve"> over teelt van gewassen en watermanagement</w:t>
      </w:r>
      <w:r>
        <w:rPr>
          <w:i/>
        </w:rPr>
        <w:t>- Publiek-private samenwerking</w:t>
      </w:r>
    </w:p>
    <w:p>
      <w:pPr>
        <w:pStyle w:val="Standaard"/>
      </w:pPr>
      <w:r>
        <w:rPr/>
        <w:t xml:space="preserve">Binnen de </w:t>
      </w:r>
      <w:r>
        <w:rPr/>
        <w:t xml:space="preserve">bestaande Westerse </w:t>
      </w:r>
      <w:r>
        <w:rPr/>
        <w:t xml:space="preserve">voedselbedrijven is </w:t>
      </w:r>
      <w:r>
        <w:rPr/>
        <w:t xml:space="preserve">in een eeuw tijd (sinds de agrarische revolutie van begin vorige eeuw) </w:t>
      </w:r>
      <w:r>
        <w:rPr/>
        <w:t xml:space="preserve">een schat aan kennis opgebouwd over veredeling van zaden, bollen en knollen (veredeling is het verbeteren van gewassen door ze te kruisen en te selecteren). </w:t>
      </w:r>
      <w:r>
        <w:rPr/>
        <w:t>B</w:t>
      </w:r>
      <w:r>
        <w:rPr/>
        <w:t xml:space="preserve">ovendien is in Europa (en Nederland loopt daarbij voorop) </w:t>
      </w:r>
      <w:r>
        <w:rPr/>
        <w:t>zeer veel bedrijfskennis aanwezig over watermanagement.</w:t>
      </w:r>
    </w:p>
    <w:p>
      <w:pPr>
        <w:pStyle w:val="Standaard"/>
      </w:pPr>
      <w:r>
        <w:rPr/>
        <w:t>B</w:t>
      </w:r>
      <w:r>
        <w:rPr/>
        <w:t xml:space="preserve">ij vele planttechnische instituten en landbouwuniversiteiten wereldwijd is met publieke middelen </w:t>
      </w:r>
      <w:r>
        <w:rPr/>
        <w:t>langdurig</w:t>
      </w:r>
      <w:r>
        <w:rPr/>
        <w:t xml:space="preserve"> onderzoek gedaan naar planteigenschappen</w:t>
      </w:r>
      <w:r>
        <w:rPr/>
        <w:t xml:space="preserve"> en watermanagement</w:t>
      </w:r>
      <w:r>
        <w:rPr/>
        <w:t xml:space="preserve">. </w:t>
      </w:r>
    </w:p>
    <w:p>
      <w:pPr>
        <w:pStyle w:val="Standaard"/>
      </w:pPr>
      <w:r>
        <w:rPr/>
        <w:t>Universiteiten zijn gewend om vraagstukken te benaderen  zonder in te gaan op de specifieke marktvraag</w:t>
      </w:r>
      <w:r>
        <w:rPr/>
        <w:t>. Bedrijven kunnen juist goed inspelen op de marktvraag en hun onderzoek daarop aanpassen.</w:t>
      </w:r>
      <w:r>
        <w:rPr/>
        <w:t xml:space="preserve"> In Publiek-Private samenwerkingen </w:t>
      </w:r>
      <w:r>
        <w:rPr/>
        <w:t xml:space="preserve">kan dit onderzoek worden gebundeld. </w:t>
      </w:r>
      <w:r>
        <w:rPr/>
        <w:t xml:space="preserve"> </w:t>
      </w:r>
      <w:r>
        <w:rPr/>
        <w:t xml:space="preserve">Er zijn al talloze Publiek-Private samenwerkingen op het gebied van Flower and </w:t>
      </w:r>
      <w:r>
        <w:rPr/>
        <w:t>Food met subsidies vanuit de Nederlandse overheid en de Europese Unie, zodat hierop eenvoudig kan worden voortgebouwd.</w:t>
      </w:r>
      <w:r>
        <w:rPr/>
        <w:t xml:space="preserve">  </w:t>
      </w:r>
    </w:p>
    <w:p>
      <w:pPr>
        <w:pStyle w:val="Standaard"/>
      </w:pPr>
      <w:r>
        <w:rPr/>
        <w:t xml:space="preserve">Door het </w:t>
      </w:r>
      <w:r>
        <w:rPr/>
        <w:t xml:space="preserve">van oorsprong </w:t>
      </w:r>
      <w:r>
        <w:rPr/>
        <w:t xml:space="preserve">Amerikaanse gebruik om </w:t>
      </w:r>
      <w:r>
        <w:rPr/>
        <w:t xml:space="preserve">specialistische </w:t>
      </w:r>
      <w:r>
        <w:rPr/>
        <w:t>kennis</w:t>
      </w:r>
      <w:r>
        <w:rPr/>
        <w:t xml:space="preserve"> veelvuldig</w:t>
      </w:r>
      <w:r>
        <w:rPr/>
        <w:t xml:space="preserve"> te octrooieren is veel planttechnische kennis alleen toegankelijk met toestemming van- , en tegen betaling van een licentievergoeding aan enkele monopolistische multinationals.</w:t>
      </w:r>
      <w:r>
        <w:rPr/>
        <w:t xml:space="preserve"> Dit Amerikaanse gebruik is inmiddels overgewaaid naar Europa, zodat meer en meer kennis wordt gemonopoliseerd. Door Publiek-Private samenwerkingen worden de negatieve uitwassen van dit gebruik doorbroken, omdat het belang van promovendi en in publieke dienst zijnde uitvinders juist is gelegen in zoveel mogelijk publiceren en  aldus het delen van kennis. </w:t>
      </w:r>
      <w:r>
        <w:rPr/>
        <w:t xml:space="preserve"> </w:t>
      </w:r>
      <w:r>
        <w:rPr/>
        <w:t xml:space="preserve">Daarnaast is een regel bij Publiek-Private samenwerkingen met overheidsgelden dat geen discriminatie mag plaatsvinden van bedrijven die tot de samenwerking willen toetreden. </w:t>
      </w:r>
    </w:p>
    <w:p>
      <w:pPr>
        <w:pStyle w:val="Standaard"/>
      </w:pPr>
      <w:r>
        <w:rPr>
          <w:i/>
        </w:rPr>
        <w:t>Landbouwers</w:t>
      </w:r>
      <w:r>
        <w:rPr>
          <w:i/>
        </w:rPr>
        <w:t xml:space="preserve"> (vrouwencoöperaties)</w:t>
      </w:r>
    </w:p>
    <w:p>
      <w:pPr>
        <w:pStyle w:val="Standaard"/>
      </w:pPr>
      <w:r>
        <w:rPr/>
        <w:t xml:space="preserve">In veel Afrikaanse landen zijn het met name de vrouwen die de landbouwgronden bewerken.  </w:t>
      </w:r>
      <w:r>
        <w:rPr/>
        <w:t>Uit onderzoek blijkt dat met name vrouwen geneigd zijn om hun directe omgeving te betrekken bij nieuw verworven welvaart.</w:t>
      </w:r>
      <w:r>
        <w:rPr/>
        <w:t xml:space="preserve"> </w:t>
      </w:r>
      <w:r>
        <w:rPr/>
        <w:t xml:space="preserve">Investeren in zogenaamde </w:t>
      </w:r>
      <w:r>
        <w:rPr>
          <w:i/>
        </w:rPr>
        <w:t>smallholder</w:t>
      </w:r>
      <w:r>
        <w:rPr>
          <w:i/>
        </w:rPr>
        <w:t xml:space="preserve"> </w:t>
      </w:r>
      <w:r>
        <w:rPr>
          <w:i/>
        </w:rPr>
        <w:t>farms</w:t>
      </w:r>
      <w:r>
        <w:rPr/>
        <w:t xml:space="preserve"> gerund door vrouwen werkt daarom als een </w:t>
      </w:r>
      <w:r>
        <w:rPr/>
        <w:t xml:space="preserve">sociaal-maatschappelijke </w:t>
      </w:r>
      <w:r>
        <w:rPr/>
        <w:t>olievlek.</w:t>
      </w:r>
      <w:r>
        <w:rPr>
          <w:i/>
        </w:rPr>
        <w:t xml:space="preserve"> </w:t>
      </w:r>
      <w:r>
        <w:rPr/>
        <w:t>Daarnaast is onderzocht dat vrouwen betrouwbaarder zijn in het terugbetalen van leningen verkregen uit bijvoorbeeld microkrediet.</w:t>
      </w:r>
      <w:r>
        <w:rPr/>
        <w:t xml:space="preserve"> </w:t>
      </w:r>
    </w:p>
    <w:p>
      <w:pPr>
        <w:pStyle w:val="Standaard"/>
      </w:pPr>
      <w:r>
        <w:rPr/>
        <w:t xml:space="preserve">Een </w:t>
      </w:r>
      <w:r>
        <w:rPr/>
        <w:t xml:space="preserve">groot </w:t>
      </w:r>
      <w:r>
        <w:rPr/>
        <w:t>aantal van d</w:t>
      </w:r>
      <w:r>
        <w:rPr/>
        <w:t>eze</w:t>
      </w:r>
      <w:r>
        <w:rPr/>
        <w:t xml:space="preserve"> lokale</w:t>
      </w:r>
      <w:r>
        <w:rPr/>
        <w:t xml:space="preserve"> </w:t>
      </w:r>
      <w:r>
        <w:rPr>
          <w:i/>
        </w:rPr>
        <w:t>smallholder farms</w:t>
      </w:r>
      <w:r>
        <w:rPr/>
        <w:t xml:space="preserve"> </w:t>
      </w:r>
      <w:r>
        <w:rPr/>
        <w:t>is door de decennia heen reeds gecontracteerd door de multinati</w:t>
      </w:r>
      <w:r>
        <w:rPr/>
        <w:t xml:space="preserve">onals als contractteler. Multinationals kunnen daarnaast actief op zoek gaan naar nieuwe vrouwencoöperaties. Hierbij kunnen bijvoorbeeld zaden worden verstrekt als een soortement microfinanciering, naar het model van Victoria Seeds in Afrika. Victoria Seeds verstrekt kosteloos zaden aan tuinders die daarmee gaan verbouwen. Met de zaden die zij uit de oogst halen betalen zij eerst Victoria Seeds in natura terug </w:t>
      </w:r>
      <w:r>
        <w:rPr/>
        <w:t xml:space="preserve">met wat extra zaden als rente </w:t>
      </w:r>
      <w:r>
        <w:rPr/>
        <w:t xml:space="preserve">en het meerdere mogen zij voor eigen verdere oogst behouden. </w:t>
      </w:r>
      <w:r>
        <w:rPr/>
        <w:t xml:space="preserve">Dit is voor multinationals een goede wijze om kwalitatief hoogwaardige (namelijk hun eigen!) zaden te laten vermeerderen voor verkoop in de Westerse wereld. </w:t>
      </w:r>
      <w:r>
        <w:rPr/>
        <w:t>D</w:t>
      </w:r>
      <w:r>
        <w:rPr/>
        <w:t xml:space="preserve">e </w:t>
      </w:r>
      <w:r>
        <w:rPr>
          <w:i/>
        </w:rPr>
        <w:t>smallholder farm</w:t>
      </w:r>
      <w:r>
        <w:rPr/>
        <w:t xml:space="preserve"> wordt op deze wijze steeds meer zelfvoorzienend en kan de belangen van de directe omgeving dienen.  </w:t>
      </w:r>
      <w:r>
        <w:rPr/>
        <w:t xml:space="preserve">  </w:t>
      </w:r>
      <w:r>
        <w:rPr/>
        <w:t xml:space="preserve"> </w:t>
      </w:r>
    </w:p>
    <w:p>
      <w:pPr>
        <w:pStyle w:val="Standaard"/>
      </w:pPr>
      <w:r>
        <w:rPr>
          <w:i/>
        </w:rPr>
        <w:t>Logistiek netwerk</w:t>
      </w:r>
    </w:p>
    <w:p>
      <w:pPr>
        <w:pStyle w:val="Standaard"/>
      </w:pPr>
      <w:r>
        <w:rPr/>
        <w:t xml:space="preserve">Als de oogst eenmaal </w:t>
      </w:r>
      <w:r>
        <w:rPr/>
        <w:t xml:space="preserve">door de tuinders </w:t>
      </w:r>
      <w:r>
        <w:rPr/>
        <w:t xml:space="preserve">is verkregen, moet deze nog wel worden verspreid onder de bevolking. Hiertoe is een afdoende logistiek netwerk en infrastructuur nodig. </w:t>
      </w:r>
      <w:r>
        <w:rPr/>
        <w:t>In de afgelopen eeuw is door de gevestigde voedselbedrijven een logistiek netwerk opgezet, waarmee in ieder geval de dichtbevolkte delen van de wereld kunnen worden bereikt.</w:t>
      </w:r>
      <w:r>
        <w:rPr/>
        <w:t xml:space="preserve"> Grote bedrijven zijn in staat om met enige investering sowieso het grootste deel van de wereldbevolking te bereiken, als men maar wil. </w:t>
      </w:r>
    </w:p>
    <w:p>
      <w:pPr>
        <w:pStyle w:val="Standaard"/>
      </w:pPr>
      <w:r>
        <w:rPr/>
        <w:t xml:space="preserve">In India </w:t>
      </w:r>
      <w:r>
        <w:rPr/>
        <w:t>vond</w:t>
      </w:r>
      <w:r>
        <w:rPr/>
        <w:t xml:space="preserve"> in de 60er jaren de Green Revolution</w:t>
      </w:r>
      <w:r>
        <w:rPr/>
        <w:t xml:space="preserve"> plaats</w:t>
      </w:r>
      <w:r>
        <w:rPr/>
        <w:t xml:space="preserve">, die leidde tot een sterke vermeerdering van oogsten voor de boeren. Omdat de betrokkenheid van de multinationals echter beperkt bleef tot het verstrekken van </w:t>
      </w:r>
      <w:r>
        <w:rPr/>
        <w:t xml:space="preserve">sterkere </w:t>
      </w:r>
      <w:r>
        <w:rPr/>
        <w:t>zaden en gewasbeschermingsmiddelen, hadden de boeren geen mogelijkheid om hun sterk vermeerderde oogsten aan de man te brengen en velen gingen failliet.</w:t>
      </w:r>
    </w:p>
    <w:p>
      <w:pPr>
        <w:pStyle w:val="Standaard"/>
      </w:pPr>
      <w:r>
        <w:rPr>
          <w:i/>
        </w:rPr>
        <w:t xml:space="preserve">Microfinance door crowdfunding en </w:t>
      </w:r>
      <w:r>
        <w:rPr>
          <w:i/>
        </w:rPr>
        <w:t>Inclusive finance</w:t>
      </w:r>
    </w:p>
    <w:p>
      <w:pPr>
        <w:pStyle w:val="Standaard"/>
      </w:pPr>
      <w:r>
        <w:rPr/>
        <w:t xml:space="preserve">De vrouwen </w:t>
      </w:r>
      <w:r>
        <w:rPr/>
        <w:t xml:space="preserve">(en mannen) </w:t>
      </w:r>
      <w:r>
        <w:rPr/>
        <w:t xml:space="preserve">in het Oosten hebben vaak geen toegang tot financiële </w:t>
      </w:r>
      <w:r>
        <w:rPr/>
        <w:t xml:space="preserve">middelen en nog minder tot financiële </w:t>
      </w:r>
      <w:r>
        <w:rPr/>
        <w:t>producten zoals bankrekeningen en bankkredieten. Het op zak hebben van contanten is veel te gevaarlijk</w:t>
      </w:r>
      <w:r>
        <w:rPr/>
        <w:t xml:space="preserve"> en </w:t>
      </w:r>
      <w:r>
        <w:rPr/>
        <w:t>overigens ook</w:t>
      </w:r>
      <w:r>
        <w:rPr/>
        <w:t xml:space="preserve"> onhandig</w:t>
      </w:r>
      <w:r>
        <w:rPr/>
        <w:t xml:space="preserve">. </w:t>
      </w:r>
    </w:p>
    <w:p>
      <w:pPr>
        <w:pStyle w:val="Standaard"/>
      </w:pPr>
      <w:r>
        <w:rPr/>
        <w:t>M</w:t>
      </w:r>
      <w:r>
        <w:rPr/>
        <w:t>icrofinanciering</w:t>
      </w:r>
      <w:r>
        <w:rPr/>
        <w:t>en</w:t>
      </w:r>
      <w:r>
        <w:rPr/>
        <w:t xml:space="preserve"> bieden uitkomst, maar</w:t>
      </w:r>
      <w:r>
        <w:rPr/>
        <w:t xml:space="preserve"> leiden </w:t>
      </w:r>
      <w:r>
        <w:rPr/>
        <w:t xml:space="preserve">in de praktijk </w:t>
      </w:r>
      <w:r>
        <w:rPr/>
        <w:t>vaak tot te</w:t>
      </w:r>
      <w:r>
        <w:rPr/>
        <w:t xml:space="preserve"> </w:t>
      </w:r>
      <w:r>
        <w:rPr/>
        <w:t>veel kosten voor de verstrekker en daarmee tot te hoge renten voor de len</w:t>
      </w:r>
      <w:r>
        <w:rPr/>
        <w:t>ingneme</w:t>
      </w:r>
      <w:r>
        <w:rPr/>
        <w:t xml:space="preserve">r. </w:t>
      </w:r>
      <w:r>
        <w:rPr/>
        <w:t xml:space="preserve">Dit kan worden ondervangen door </w:t>
      </w:r>
      <w:r>
        <w:rPr>
          <w:i/>
        </w:rPr>
        <w:t>crowdfunding</w:t>
      </w:r>
      <w:r>
        <w:rPr/>
        <w:t xml:space="preserve"> (dat wil zeggen: via internet door een divers publiek verstrekken van </w:t>
      </w:r>
      <w:r>
        <w:rPr/>
        <w:t xml:space="preserve">vele </w:t>
      </w:r>
      <w:r>
        <w:rPr/>
        <w:t xml:space="preserve">kleine </w:t>
      </w:r>
      <w:r>
        <w:rPr/>
        <w:t xml:space="preserve">renteloze </w:t>
      </w:r>
      <w:r>
        <w:rPr/>
        <w:t>leningen/giften</w:t>
      </w:r>
      <w:r>
        <w:rPr/>
        <w:t xml:space="preserve">, waardoor in totaal een groot bedrag wordt ontvangen door de leningnemer – vergelijkbaar met de uitgifte van aandelen in een publieke vennootschap, maar dan op een 2.0-wijze). </w:t>
      </w:r>
      <w:r>
        <w:rPr/>
        <w:t xml:space="preserve">Dit dient dan bij voorkeur te worden opgezet door een gerenommeerde bank of </w:t>
      </w:r>
      <w:r>
        <w:rPr/>
        <w:t>micro</w:t>
      </w:r>
      <w:r>
        <w:rPr/>
        <w:t xml:space="preserve">kredietinstelling, omdat dan van de logistieke kennis van </w:t>
      </w:r>
      <w:r>
        <w:rPr/>
        <w:t xml:space="preserve">zo’n bank gebruik kan worden gemaakt. </w:t>
      </w:r>
    </w:p>
    <w:p>
      <w:pPr>
        <w:pStyle w:val="Standaard"/>
      </w:pPr>
      <w:r>
        <w:rPr/>
        <w:t xml:space="preserve">Dit gebeurt bijvoorbeeld al door Kiva.org, een succesvol Amerikaans 2.0 platform dat met tussenkomst van bestaande microfinancieringsinstituten kleine ondernemers uit het oosten (en tegenwoordig ook uit de VS) kleine leningen verstrekt, waarbij het geld </w:t>
      </w:r>
      <w:r>
        <w:rPr/>
        <w:t xml:space="preserve">via een website </w:t>
      </w:r>
      <w:r>
        <w:rPr/>
        <w:t xml:space="preserve">wordt geleend door particulieren wereldwijd.  </w:t>
      </w:r>
      <w:r>
        <w:rPr/>
        <w:t>Maar ook hier is een veelgehoord tegenargument dat te hoge rentes worden bedongen door de microfinancieringsinstelling om kostendekkend te zijn.</w:t>
      </w:r>
    </w:p>
    <w:p>
      <w:pPr>
        <w:pStyle w:val="Standaard"/>
      </w:pPr>
      <w:r>
        <w:rPr/>
        <w:t xml:space="preserve">Daarnaast is het belangrijk dat </w:t>
      </w:r>
      <w:r>
        <w:rPr/>
        <w:t xml:space="preserve">tuinders </w:t>
      </w:r>
      <w:r>
        <w:rPr/>
        <w:t>in het Oosten toegang krijg</w:t>
      </w:r>
      <w:r>
        <w:rPr/>
        <w:t>en</w:t>
      </w:r>
      <w:r>
        <w:rPr/>
        <w:t xml:space="preserve"> tot bankproducten</w:t>
      </w:r>
      <w:r>
        <w:rPr/>
        <w:t xml:space="preserve"> (</w:t>
      </w:r>
      <w:r>
        <w:rPr/>
        <w:t>zoals een bankrekening</w:t>
      </w:r>
      <w:r>
        <w:rPr/>
        <w:t>)</w:t>
      </w:r>
      <w:r>
        <w:rPr/>
        <w:t>, waar men op ieder moment toegang toe heeft</w:t>
      </w:r>
      <w:r>
        <w:rPr/>
        <w:t xml:space="preserve"> om teeltbenodigdheden te kopen</w:t>
      </w:r>
      <w:r>
        <w:rPr/>
        <w:t xml:space="preserve">, ondanks het gebrek aan goede wegen. Hiertoe zijn al vele initiatieven gestart met bijvoorbeeld betalen via de mobiele telefoon of het internet. </w:t>
      </w:r>
      <w:r>
        <w:rPr/>
        <w:t>Ook daarvoor is de gedreven medewerking van met name multinationale bedrijven (zoals telefoon en internetproviders) nodig.</w:t>
      </w:r>
      <w:r>
        <w:rPr/>
        <w:t xml:space="preserve">     </w:t>
      </w:r>
      <w:r>
        <w:rPr/>
        <w:t xml:space="preserve">  </w:t>
      </w:r>
      <w:r>
        <w:rPr/>
        <w:t xml:space="preserve">  </w:t>
      </w:r>
    </w:p>
    <w:p>
      <w:pPr>
        <w:pStyle w:val="Standaard"/>
      </w:pPr>
      <w:r>
        <w:rPr>
          <w:i/>
        </w:rPr>
        <w:t>Winst</w:t>
      </w:r>
    </w:p>
    <w:p>
      <w:pPr>
        <w:pStyle w:val="Standaard"/>
      </w:pPr>
      <w:r>
        <w:rPr/>
        <w:t xml:space="preserve">Multinationals bestaan bij de gratie van omzet en winst. Veelal gaat het ook nog eens om grote beursgenoteerde ondernemingen, waardoor dit eens te meer geldt. De pensioenen van een groot deel van de rijkere wereldbevolking staan of vallen met de winstgevendheid van deze aandelen. Dit geldt ook voor de banken en verzekeraars die de </w:t>
      </w:r>
      <w:r>
        <w:rPr>
          <w:i/>
        </w:rPr>
        <w:t>inclusive finance</w:t>
      </w:r>
      <w:r>
        <w:rPr/>
        <w:t xml:space="preserve"> instellingen moeten gaan opzetten. </w:t>
      </w:r>
      <w:r>
        <w:rPr/>
        <w:t xml:space="preserve">Het is dan ook onvermijdelijk dat bedrijven alleen mee zullen doen als er enige vorm van winst kan worden gemaakt (waarbij reputatiewinst, sociale winst of werknemerstevredenheid natuurlijk ook als winst kan gelden). Dat hoeft in mijn ogen ook helemaal geen bezwaar te zijn, omdat dingen nu eenmaal sneller en grootser tot stand komen als er enige vorm van </w:t>
      </w:r>
      <w:r>
        <w:rPr>
          <w:i/>
        </w:rPr>
        <w:t xml:space="preserve">incentive </w:t>
      </w:r>
      <w:r>
        <w:rPr/>
        <w:t>is</w:t>
      </w:r>
      <w:r>
        <w:rPr/>
        <w:t xml:space="preserve"> en in deze kapitalistische maatschappij is de </w:t>
      </w:r>
      <w:r>
        <w:rPr>
          <w:i/>
        </w:rPr>
        <w:t>i</w:t>
      </w:r>
      <w:r>
        <w:rPr>
          <w:i/>
        </w:rPr>
        <w:t>ncentive</w:t>
      </w:r>
      <w:r>
        <w:rPr/>
        <w:t xml:space="preserve"> nu eenmaal vaak geldelijk</w:t>
      </w:r>
      <w:r>
        <w:rPr/>
        <w:t xml:space="preserve">. Tegenwoordig is </w:t>
      </w:r>
      <w:r>
        <w:rPr/>
        <w:t xml:space="preserve">onder de jongere generatie (20-ers) de zogenaamde </w:t>
      </w:r>
      <w:r>
        <w:rPr>
          <w:i/>
        </w:rPr>
        <w:t>ego-incentive</w:t>
      </w:r>
      <w:r>
        <w:rPr/>
        <w:t xml:space="preserve"> in zwang. Dat betekent dat zo’n jongere meer gaat voor opbouw van eigen naam en faam en voor het doen van prikkelende uitdagende opdrachten, dan voor het geld. Ook die groep komt geheel aan zijn trekken indien de jaarlijkse grote zak overheidsgeld in het bedrijfsleven wordt vermenigvuldigd in spannende maatschappelijk verantwoorde projecten op het gebied van Internationale Samenwerking.   </w:t>
      </w:r>
      <w:r>
        <w:rPr/>
        <w:t xml:space="preserve">  </w:t>
      </w:r>
      <w:r>
        <w:rPr/>
        <w:t xml:space="preserve">  </w:t>
      </w:r>
    </w:p>
    <w:p>
      <w:pPr>
        <w:pStyle w:val="Standaard"/>
      </w:pPr>
      <w:r>
        <w:rPr>
          <w:i/>
        </w:rPr>
        <w:t>Staatssteun</w:t>
      </w:r>
    </w:p>
    <w:p>
      <w:pPr>
        <w:pStyle w:val="Standaard"/>
      </w:pPr>
      <w:r>
        <w:rPr/>
        <w:t xml:space="preserve">Uiteraard zou een jaarlijks miljard van de overheid moeten worden aangemerkt als staatssteun indien dit aan bedrijven wordt verstrekt. In hoeverre dit vervolgens als </w:t>
      </w:r>
      <w:r>
        <w:rPr>
          <w:i/>
        </w:rPr>
        <w:t>ongeoorloofde</w:t>
      </w:r>
      <w:r>
        <w:rPr/>
        <w:t xml:space="preserve"> staatssteun zou moeten worden aangemerkt hangt af van de overige voorwaarden, zoals de vraag of ieder Europees bedrijf gelijkelijk de kans heeft om mee te doen.</w:t>
      </w:r>
      <w:r>
        <w:rPr/>
        <w:t xml:space="preserve"> </w:t>
      </w:r>
      <w:r>
        <w:rPr/>
        <w:t xml:space="preserve">Bij bedrijven in de overzeese gebieden, zoals de VS en Azië geldt deze plicht om ze te laten meedoen niet, maar is het wel van belang dat wordt voldaan aan eerlijke handelseisen, zoals omschreven in het WTO-handelsverdrag. </w:t>
      </w:r>
    </w:p>
    <w:sectPr>
      <w:pgSz w:w="11906" w:h="16838"/>
      <w:pgMar w:left="1417" w:right="1417" w:top="1417" w:bottom="1417"/>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alibri"/>
  <w:font w:name="MS Mincho"/>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36884966">
    <w:multiLevelType w:val="hybridMultilevel"/>
    <w:lvl w:ilvl="0">
      <w:numFmt w:val="lowerRoman"/>
      <w:lvlText w:val="(%1)"/>
      <w:start w:val="1"/>
      <w:lvlJc w:val="left"/>
      <w:pPr>
        <w:ind w:left="1080"/>
        <w:ind w:hanging="72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121982">
    <w:multiLevelType w:val="hybridMultilevel"/>
    <w:lvl w:ilvl="0">
      <w:numFmt w:val="bullet"/>
      <w:lvlText w:val=""/>
      <w:start w:val="0"/>
      <w:lvlJc w:val="left"/>
      <w:pPr>
        <w:ind w:left="720"/>
      </w:pPr>
      <w:rPr>
        <w:rFonts w:ascii="Symbol" w:hAnsi="Symbol"/>
      </w:rPr>
    </w:lvl>
    <w:lvl w:ilvl="1">
      <w:numFmt w:val="bullet"/>
      <w:lvlText w:val="o"/>
      <w:start w:val="0"/>
      <w:lvlJc w:val="left"/>
      <w:pPr>
        <w:ind w:left="1440"/>
      </w:pPr>
      <w:rPr/>
    </w:lvl>
    <w:lvl w:ilvl="2">
      <w:numFmt w:val="bullet"/>
      <w:lvlText w:val=""/>
      <w:start w:val="0"/>
      <w:lvlJc w:val="left"/>
      <w:pPr>
        <w:ind w:left="2160"/>
      </w:pPr>
      <w:rPr>
        <w:rFonts w:ascii="Symbol" w:hAnsi="Symbol"/>
      </w:rPr>
    </w:lvl>
    <w:lvl w:ilvl="3">
      <w:numFmt w:val="bullet"/>
      <w:lvlText w:val=""/>
      <w:start w:val="0"/>
      <w:lvlJc w:val="left"/>
      <w:pPr>
        <w:ind w:left="2880"/>
      </w:pPr>
      <w:rPr>
        <w:rFonts w:ascii="Symbol" w:hAnsi="Symbol"/>
      </w:rPr>
    </w:lvl>
    <w:lvl w:ilvl="4">
      <w:numFmt w:val="bullet"/>
      <w:lvlText w:val="o"/>
      <w:start w:val="0"/>
      <w:lvlJc w:val="left"/>
      <w:pPr>
        <w:ind w:left="3600"/>
      </w:pPr>
      <w:rPr/>
    </w:lvl>
    <w:lvl w:ilvl="5">
      <w:numFmt w:val="bullet"/>
      <w:lvlText w:val=""/>
      <w:start w:val="0"/>
      <w:lvlJc w:val="left"/>
      <w:pPr>
        <w:ind w:left="4320"/>
      </w:pPr>
      <w:rPr>
        <w:rFonts w:ascii="Symbol" w:hAnsi="Symbol"/>
      </w:rPr>
    </w:lvl>
    <w:lvl w:ilvl="6">
      <w:numFmt w:val="bullet"/>
      <w:lvlText w:val=""/>
      <w:start w:val="0"/>
      <w:lvlJc w:val="left"/>
      <w:pPr>
        <w:ind w:left="5040"/>
      </w:pPr>
      <w:rPr>
        <w:rFonts w:ascii="Symbol" w:hAnsi="Symbol"/>
      </w:rPr>
    </w:lvl>
    <w:lvl w:ilvl="7">
      <w:numFmt w:val="bullet"/>
      <w:lvlText w:val="o"/>
      <w:start w:val="0"/>
      <w:lvlJc w:val="left"/>
      <w:pPr>
        <w:ind w:left="5760"/>
      </w:pPr>
      <w:rPr/>
    </w:lvl>
    <w:lvl w:ilvl="8">
      <w:numFmt w:val="bullet"/>
      <w:lvlText w:val=""/>
      <w:start w:val="0"/>
      <w:lvlJc w:val="left"/>
      <w:pPr>
        <w:ind w:left="6480"/>
      </w:pPr>
      <w:rPr>
        <w:rFonts w:ascii="Symbol" w:hAnsi="Symbol"/>
      </w:rPr>
    </w:lvl>
  </w:abstractNum>
  <w:abstractNum w:abstractNumId="10121983">
    <w:multiLevelType w:val="hybridMultilevel"/>
    <w:lvl w:ilvl="0">
      <w:numFmt w:val="decimal"/>
      <w:lvlText w:val="%1."/>
      <w:start w:val="1"/>
      <w:lvlJc w:val="left"/>
      <w:pPr>
        <w:ind w:left="720"/>
      </w:pPr>
    </w:lvl>
    <w:lvl w:ilvl="1">
      <w:numFmt w:val="decimal"/>
      <w:lvlText w:val="%2."/>
      <w:start w:val="1"/>
      <w:lvlJc w:val="left"/>
      <w:pPr>
        <w:ind w:left="1440"/>
      </w:pPr>
    </w:lvl>
    <w:lvl w:ilvl="2">
      <w:numFmt w:val="decimal"/>
      <w:lvlText w:val="%3."/>
      <w:start w:val="1"/>
      <w:lvlJc w:val="left"/>
      <w:pPr>
        <w:ind w:left="2160"/>
      </w:pPr>
    </w:lvl>
    <w:lvl w:ilvl="3">
      <w:numFmt w:val="decimal"/>
      <w:lvlText w:val="%4."/>
      <w:start w:val="1"/>
      <w:lvlJc w:val="left"/>
      <w:pPr>
        <w:ind w:left="2880"/>
      </w:pPr>
    </w:lvl>
    <w:lvl w:ilvl="4">
      <w:numFmt w:val="decimal"/>
      <w:lvlText w:val="%5."/>
      <w:start w:val="1"/>
      <w:lvlJc w:val="left"/>
      <w:pPr>
        <w:ind w:left="3600"/>
      </w:pPr>
    </w:lvl>
    <w:lvl w:ilvl="5">
      <w:numFmt w:val="decimal"/>
      <w:lvlText w:val="%6."/>
      <w:start w:val="1"/>
      <w:lvlJc w:val="left"/>
      <w:pPr>
        <w:ind w:left="4320"/>
      </w:pPr>
    </w:lvl>
    <w:lvl w:ilvl="6">
      <w:numFmt w:val="decimal"/>
      <w:lvlText w:val="%7."/>
      <w:start w:val="1"/>
      <w:lvlJc w:val="left"/>
      <w:pPr>
        <w:ind w:left="5040"/>
      </w:pPr>
    </w:lvl>
    <w:lvl w:ilvl="7">
      <w:numFmt w:val="decimal"/>
      <w:lvlText w:val="%8."/>
      <w:start w:val="1"/>
      <w:lvlJc w:val="left"/>
      <w:pPr>
        <w:ind w:left="5760"/>
      </w:pPr>
    </w:lvl>
    <w:lvl w:ilvl="8">
      <w:numFmt w:val="decimal"/>
      <w:lvlText w:val="%9."/>
      <w:start w:val="1"/>
      <w:lvlJc w:val="left"/>
      <w:pPr>
        <w:ind w:left="6480"/>
      </w:pPr>
    </w:lvl>
  </w:abstractNum>
  <w:num w:numId="636884966">
    <w:abstractNumId w:val="636884966"/>
  </w: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andaard">
    <w:name w:val="Standaard"/>
    <w:qFormat/>
    <w:rPr>
      <w:sz w:val="22"/>
    </w:rPr>
    <w:pPr>
      <w:spacing w:after="200" w:line="276" w:lineRule="auto"/>
    </w:pPr>
  </w:style>
  <w:style w:type="character" w:styleId="Standaardalinea-lettertype">
    <w:name w:val="Standaardalinea-lettertype"/>
    <w:qFormat/>
  </w:style>
  <w:style w:styleId="Standaardtabel">
    <w:name w:val="Standaardtabel"/>
    <w:qFormat/>
  </w:style>
  <w:style w:styleId="Geen lijst">
    <w:name w:val="Geen lijst"/>
    <w:qFormat/>
  </w:style>
  <w:style w:type="paragraph" w:default="1" w:styleId="Normal">
    <w:name w:val="Normal"/>
    <w:qFormat/>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 1">
    <w:name w:val="Heading 1"/>
    <w:qFormat/>
    <w:basedOn w:val="Normal"/>
    <w:rPr>
      <w:b/>
      <w:color w:val="#345a8a"/>
      <w:sz w:val="32"/>
    </w:rPr>
    <w:pPr>
      <w:spacing w:before="480"/>
    </w:pPr>
  </w:style>
  <w:style w:type="paragraph" w:styleId="Heading 2">
    <w:name w:val="Heading 2"/>
    <w:qFormat/>
    <w:basedOn w:val="Normal"/>
    <w:rPr>
      <w:b/>
      <w:color w:val="#4f81bd"/>
      <w:sz w:val="26"/>
    </w:rPr>
    <w:pPr>
      <w:spacing w:before="200"/>
    </w:pPr>
  </w:style>
  <w:style w:type="paragraph" w:styleId="Heading 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